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F" w:rsidRPr="0060638E" w:rsidRDefault="0001563F" w:rsidP="0060638E">
      <w:pPr>
        <w:rPr>
          <w:b/>
          <w:sz w:val="28"/>
        </w:rPr>
      </w:pPr>
      <w:r>
        <w:rPr>
          <w:b/>
          <w:sz w:val="28"/>
        </w:rPr>
        <w:t xml:space="preserve">Pollination patterns in </w:t>
      </w:r>
      <w:r w:rsidRPr="0060638E">
        <w:rPr>
          <w:b/>
          <w:sz w:val="28"/>
        </w:rPr>
        <w:t>Scots pine seed orchard</w:t>
      </w:r>
      <w:r>
        <w:rPr>
          <w:b/>
          <w:sz w:val="28"/>
        </w:rPr>
        <w:t>s</w:t>
      </w:r>
    </w:p>
    <w:p w:rsidR="0001563F" w:rsidRPr="00A1636C" w:rsidRDefault="0001563F" w:rsidP="0060638E">
      <w:pPr>
        <w:rPr>
          <w:b/>
          <w:sz w:val="24"/>
        </w:rPr>
      </w:pPr>
      <w:r w:rsidRPr="00A1636C">
        <w:rPr>
          <w:b/>
          <w:lang w:eastAsia="zh-CN"/>
        </w:rPr>
        <w:t xml:space="preserve">Anders </w:t>
      </w:r>
      <w:r w:rsidRPr="00A1636C">
        <w:rPr>
          <w:b/>
        </w:rPr>
        <w:t>Fries</w:t>
      </w:r>
      <w:r w:rsidRPr="00A1636C">
        <w:rPr>
          <w:vertAlign w:val="superscript"/>
          <w:lang w:eastAsia="zh-CN"/>
        </w:rPr>
        <w:t>1)</w:t>
      </w:r>
      <w:r w:rsidRPr="00A1636C">
        <w:rPr>
          <w:lang w:eastAsia="zh-CN"/>
        </w:rPr>
        <w:t xml:space="preserve">, Takeshi </w:t>
      </w:r>
      <w:r w:rsidRPr="00A1636C">
        <w:t>Torimaru</w:t>
      </w:r>
      <w:r w:rsidRPr="00A1636C">
        <w:rPr>
          <w:vertAlign w:val="superscript"/>
          <w:lang w:eastAsia="zh-CN"/>
        </w:rPr>
        <w:t>2)</w:t>
      </w:r>
      <w:r w:rsidRPr="00A1636C">
        <w:t xml:space="preserve">, </w:t>
      </w:r>
      <w:r w:rsidRPr="00A1636C">
        <w:rPr>
          <w:lang w:eastAsia="zh-CN"/>
        </w:rPr>
        <w:t xml:space="preserve">Xiao-Ru </w:t>
      </w:r>
      <w:r w:rsidRPr="00A1636C">
        <w:t>Wang</w:t>
      </w:r>
      <w:r w:rsidRPr="00A1636C">
        <w:rPr>
          <w:vertAlign w:val="superscript"/>
        </w:rPr>
        <w:t>3)</w:t>
      </w:r>
      <w:r w:rsidRPr="00A1636C">
        <w:t xml:space="preserve">, </w:t>
      </w:r>
      <w:smartTag w:uri="urn:schemas-microsoft-com:office:smarttags" w:element="PersonName">
        <w:r w:rsidRPr="00A1636C">
          <w:rPr>
            <w:lang w:eastAsia="zh-CN"/>
          </w:rPr>
          <w:t xml:space="preserve">Bengt </w:t>
        </w:r>
        <w:r w:rsidRPr="00A1636C">
          <w:t>Andersson</w:t>
        </w:r>
      </w:smartTag>
      <w:r w:rsidRPr="00A1636C">
        <w:rPr>
          <w:vertAlign w:val="superscript"/>
          <w:lang w:eastAsia="zh-CN"/>
        </w:rPr>
        <w:t>4)</w:t>
      </w:r>
      <w:r w:rsidRPr="00A1636C">
        <w:t xml:space="preserve">, </w:t>
      </w:r>
      <w:r w:rsidRPr="00A1636C">
        <w:rPr>
          <w:lang w:eastAsia="zh-CN"/>
        </w:rPr>
        <w:t xml:space="preserve">Dag </w:t>
      </w:r>
      <w:r w:rsidRPr="00A1636C">
        <w:t>Lindgren</w:t>
      </w:r>
      <w:r w:rsidRPr="00A1636C">
        <w:rPr>
          <w:vertAlign w:val="superscript"/>
          <w:lang w:eastAsia="zh-CN"/>
        </w:rPr>
        <w:t>1)</w:t>
      </w:r>
    </w:p>
    <w:p w:rsidR="0001563F" w:rsidRDefault="0001563F" w:rsidP="00E76378">
      <w:pPr>
        <w:pStyle w:val="ListParagraph"/>
        <w:spacing w:after="0"/>
        <w:ind w:left="159" w:hanging="159"/>
      </w:pPr>
      <w:r w:rsidRPr="00A1636C">
        <w:rPr>
          <w:vertAlign w:val="superscript"/>
        </w:rPr>
        <w:t xml:space="preserve">1) </w:t>
      </w:r>
      <w:r>
        <w:t xml:space="preserve">Department of Forest Genetics and Plant Physiology, The </w:t>
      </w:r>
      <w:smartTag w:uri="urn:schemas-microsoft-com:office:smarttags" w:element="PlaceName">
        <w:r>
          <w:t>Swedish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Agricultural Sciences, SE-901 83 </w:t>
      </w:r>
      <w:smartTag w:uri="urn:schemas-microsoft-com:office:smarttags" w:element="City">
        <w:smartTag w:uri="urn:schemas-microsoft-com:office:smarttags" w:element="place">
          <w:r>
            <w:t>Umeå</w:t>
          </w:r>
        </w:smartTag>
        <w:r>
          <w:t xml:space="preserve">, </w:t>
        </w:r>
        <w:smartTag w:uri="urn:schemas-microsoft-com:office:smarttags" w:element="country-region">
          <w:r>
            <w:t>Sweden</w:t>
          </w:r>
        </w:smartTag>
      </w:smartTag>
      <w:r>
        <w:t xml:space="preserve">. </w:t>
      </w:r>
      <w:hyperlink r:id="rId5" w:history="1">
        <w:r w:rsidRPr="00776FAA">
          <w:rPr>
            <w:rStyle w:val="Hyperlink"/>
          </w:rPr>
          <w:t>Anders.Fries@genfys.slu.se</w:t>
        </w:r>
      </w:hyperlink>
      <w:r>
        <w:t xml:space="preserve"> &amp; </w:t>
      </w:r>
      <w:hyperlink r:id="rId6" w:history="1">
        <w:r w:rsidRPr="00776FAA">
          <w:rPr>
            <w:rStyle w:val="Hyperlink"/>
          </w:rPr>
          <w:t>Dag.Lindgren@genfys.slu.se</w:t>
        </w:r>
      </w:hyperlink>
      <w:r>
        <w:t xml:space="preserve"> </w:t>
      </w:r>
    </w:p>
    <w:p w:rsidR="0001563F" w:rsidRPr="00A1636C" w:rsidRDefault="0001563F" w:rsidP="00E76378">
      <w:pPr>
        <w:pStyle w:val="ListParagraph"/>
        <w:spacing w:after="160"/>
        <w:ind w:left="159" w:hanging="159"/>
      </w:pPr>
      <w:r w:rsidRPr="00A1636C">
        <w:rPr>
          <w:vertAlign w:val="superscript"/>
        </w:rPr>
        <w:t xml:space="preserve">2) </w:t>
      </w:r>
      <w:r w:rsidRPr="00A1636C">
        <w:t xml:space="preserve">F aculty of Agriculture and Life Science, Hirosaki University 3, Bunkyo-cho, hirosaki, </w:t>
      </w:r>
    </w:p>
    <w:p w:rsidR="0001563F" w:rsidRPr="00A1636C" w:rsidRDefault="0001563F" w:rsidP="00E76378">
      <w:pPr>
        <w:pStyle w:val="ListParagraph"/>
        <w:spacing w:after="160"/>
        <w:ind w:left="159" w:hanging="159"/>
        <w:rPr>
          <w:lang w:val="fi-FI"/>
        </w:rPr>
      </w:pPr>
      <w:r w:rsidRPr="00A1636C">
        <w:tab/>
      </w:r>
      <w:r w:rsidRPr="00A1636C">
        <w:rPr>
          <w:lang w:val="fi-FI"/>
        </w:rPr>
        <w:t xml:space="preserve">Aomori, 036-8561, JAPAN. </w:t>
      </w:r>
      <w:hyperlink r:id="rId7" w:history="1">
        <w:r w:rsidRPr="00A1636C">
          <w:rPr>
            <w:rStyle w:val="Hyperlink"/>
            <w:lang w:val="fi-FI"/>
          </w:rPr>
          <w:t>torimaru@cc.hirosaki-u.ac.jp</w:t>
        </w:r>
      </w:hyperlink>
    </w:p>
    <w:p w:rsidR="0001563F" w:rsidRDefault="0001563F" w:rsidP="00E76378">
      <w:pPr>
        <w:pStyle w:val="ListParagraph"/>
        <w:spacing w:after="0"/>
        <w:ind w:left="159" w:hanging="159"/>
        <w:contextualSpacing w:val="0"/>
      </w:pPr>
      <w:r w:rsidRPr="00A1636C">
        <w:rPr>
          <w:vertAlign w:val="superscript"/>
        </w:rPr>
        <w:t xml:space="preserve">3) </w:t>
      </w:r>
      <w:r>
        <w:t xml:space="preserve">Department of Ecology and Environmental Science, UPSC, </w:t>
      </w:r>
      <w:smartTag w:uri="urn:schemas-microsoft-com:office:smarttags" w:element="PlaceName">
        <w:r>
          <w:t>Umeå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SE-901 87 </w:t>
      </w:r>
      <w:smartTag w:uri="urn:schemas-microsoft-com:office:smarttags" w:element="City">
        <w:smartTag w:uri="urn:schemas-microsoft-com:office:smarttags" w:element="place">
          <w:r>
            <w:t>Umeå</w:t>
          </w:r>
        </w:smartTag>
        <w:r>
          <w:t xml:space="preserve">, </w:t>
        </w:r>
        <w:smartTag w:uri="urn:schemas-microsoft-com:office:smarttags" w:element="country-region">
          <w:r>
            <w:t>Sweden</w:t>
          </w:r>
        </w:smartTag>
      </w:smartTag>
      <w:r>
        <w:t xml:space="preserve">. </w:t>
      </w:r>
      <w:hyperlink r:id="rId8" w:history="1">
        <w:r w:rsidRPr="00776FAA">
          <w:rPr>
            <w:rStyle w:val="Hyperlink"/>
          </w:rPr>
          <w:t>Xiao-Ru.Wang@emg.umu.se</w:t>
        </w:r>
      </w:hyperlink>
      <w:r>
        <w:t xml:space="preserve"> </w:t>
      </w:r>
    </w:p>
    <w:p w:rsidR="0001563F" w:rsidRPr="00A1636C" w:rsidRDefault="0001563F" w:rsidP="00E76378">
      <w:pPr>
        <w:pStyle w:val="ListParagraph"/>
        <w:spacing w:after="160"/>
        <w:ind w:left="159" w:hanging="159"/>
        <w:contextualSpacing w:val="0"/>
      </w:pPr>
      <w:r w:rsidRPr="00A1636C">
        <w:rPr>
          <w:vertAlign w:val="superscript"/>
        </w:rPr>
        <w:t xml:space="preserve">4) </w:t>
      </w:r>
      <w:r w:rsidRPr="00A1636C">
        <w:t xml:space="preserve">Forestry Research Institute of </w:t>
      </w:r>
      <w:smartTag w:uri="urn:schemas-microsoft-com:office:smarttags" w:element="country-region">
        <w:r w:rsidRPr="00A1636C">
          <w:t>Sweden</w:t>
        </w:r>
      </w:smartTag>
      <w:r w:rsidRPr="00A1636C">
        <w:t xml:space="preserve"> (Skogforsk), SE-918 21 </w:t>
      </w:r>
      <w:smartTag w:uri="urn:schemas-microsoft-com:office:smarttags" w:element="place">
        <w:smartTag w:uri="urn:schemas-microsoft-com:office:smarttags" w:element="City">
          <w:r w:rsidRPr="00A1636C">
            <w:t>Sävar</w:t>
          </w:r>
        </w:smartTag>
        <w:r w:rsidRPr="00A1636C">
          <w:t xml:space="preserve">, </w:t>
        </w:r>
        <w:smartTag w:uri="urn:schemas-microsoft-com:office:smarttags" w:element="country-region">
          <w:r w:rsidRPr="00A1636C">
            <w:t>Sweden</w:t>
          </w:r>
        </w:smartTag>
      </w:smartTag>
      <w:r w:rsidRPr="00A1636C">
        <w:t xml:space="preserve">. </w:t>
      </w:r>
      <w:hyperlink r:id="rId9" w:history="1">
        <w:r w:rsidRPr="00A1636C">
          <w:rPr>
            <w:rStyle w:val="Hyperlink"/>
          </w:rPr>
          <w:t>bengt.andersson@skogforsk.se</w:t>
        </w:r>
      </w:hyperlink>
    </w:p>
    <w:p w:rsidR="0001563F" w:rsidRPr="005A71F7" w:rsidRDefault="0001563F" w:rsidP="009F5353">
      <w:pPr>
        <w:pStyle w:val="ListParagraph"/>
        <w:spacing w:after="120"/>
        <w:ind w:left="0"/>
        <w:contextualSpacing w:val="0"/>
        <w:rPr>
          <w:sz w:val="24"/>
        </w:rPr>
      </w:pPr>
      <w:r w:rsidRPr="005A71F7">
        <w:rPr>
          <w:sz w:val="24"/>
        </w:rPr>
        <w:t xml:space="preserve">In </w:t>
      </w:r>
      <w:smartTag w:uri="urn:schemas-microsoft-com:office:smarttags" w:element="country-region">
        <w:r w:rsidRPr="005A71F7">
          <w:rPr>
            <w:sz w:val="24"/>
          </w:rPr>
          <w:t>Sweden</w:t>
        </w:r>
      </w:smartTag>
      <w:r w:rsidRPr="005A71F7">
        <w:rPr>
          <w:sz w:val="24"/>
        </w:rPr>
        <w:t xml:space="preserve"> most of the plants of Scots pine (</w:t>
      </w:r>
      <w:r w:rsidRPr="005A71F7">
        <w:rPr>
          <w:i/>
          <w:iCs/>
          <w:sz w:val="24"/>
        </w:rPr>
        <w:t>Pinus sylvestris</w:t>
      </w:r>
      <w:r w:rsidRPr="005A71F7">
        <w:rPr>
          <w:sz w:val="24"/>
        </w:rPr>
        <w:t xml:space="preserve">) originate from seed orchards. The percentage today is </w:t>
      </w:r>
      <w:r>
        <w:rPr>
          <w:sz w:val="24"/>
        </w:rPr>
        <w:t>at least</w:t>
      </w:r>
      <w:r w:rsidRPr="005A71F7">
        <w:rPr>
          <w:sz w:val="24"/>
        </w:rPr>
        <w:t xml:space="preserve"> </w:t>
      </w:r>
      <w:r>
        <w:rPr>
          <w:sz w:val="24"/>
        </w:rPr>
        <w:t xml:space="preserve">85 </w:t>
      </w:r>
      <w:r w:rsidRPr="005A71F7">
        <w:rPr>
          <w:bCs/>
          <w:sz w:val="24"/>
        </w:rPr>
        <w:t>% and this figure will increase</w:t>
      </w:r>
      <w:r>
        <w:rPr>
          <w:bCs/>
          <w:sz w:val="24"/>
        </w:rPr>
        <w:t xml:space="preserve">. </w:t>
      </w:r>
      <w:r w:rsidRPr="005A71F7">
        <w:rPr>
          <w:sz w:val="24"/>
        </w:rPr>
        <w:t xml:space="preserve">The </w:t>
      </w:r>
      <w:r>
        <w:rPr>
          <w:sz w:val="24"/>
        </w:rPr>
        <w:t xml:space="preserve">full rotation </w:t>
      </w:r>
      <w:r w:rsidRPr="005A71F7">
        <w:rPr>
          <w:sz w:val="24"/>
        </w:rPr>
        <w:t>genetic gain</w:t>
      </w:r>
      <w:r>
        <w:rPr>
          <w:sz w:val="24"/>
        </w:rPr>
        <w:t>s</w:t>
      </w:r>
      <w:r w:rsidRPr="005A71F7">
        <w:rPr>
          <w:sz w:val="24"/>
        </w:rPr>
        <w:t xml:space="preserve"> in production from the 2</w:t>
      </w:r>
      <w:r w:rsidRPr="005A71F7">
        <w:rPr>
          <w:sz w:val="24"/>
          <w:vertAlign w:val="superscript"/>
        </w:rPr>
        <w:t>nd</w:t>
      </w:r>
      <w:r w:rsidRPr="005A71F7">
        <w:rPr>
          <w:sz w:val="24"/>
        </w:rPr>
        <w:t xml:space="preserve"> round of Swedish Scots</w:t>
      </w:r>
      <w:r>
        <w:rPr>
          <w:sz w:val="24"/>
        </w:rPr>
        <w:t xml:space="preserve"> pine</w:t>
      </w:r>
      <w:r w:rsidRPr="005A71F7">
        <w:rPr>
          <w:sz w:val="24"/>
        </w:rPr>
        <w:t xml:space="preserve"> seed orchards, established during the 1980s</w:t>
      </w:r>
      <w:r>
        <w:rPr>
          <w:sz w:val="24"/>
        </w:rPr>
        <w:t>,</w:t>
      </w:r>
      <w:r w:rsidRPr="005A71F7">
        <w:rPr>
          <w:sz w:val="24"/>
        </w:rPr>
        <w:t xml:space="preserve"> are expected to </w:t>
      </w:r>
      <w:r>
        <w:rPr>
          <w:sz w:val="24"/>
        </w:rPr>
        <w:t>be</w:t>
      </w:r>
      <w:r w:rsidRPr="005A71F7">
        <w:rPr>
          <w:sz w:val="24"/>
        </w:rPr>
        <w:t xml:space="preserve"> 10-</w:t>
      </w:r>
      <w:r>
        <w:rPr>
          <w:sz w:val="24"/>
        </w:rPr>
        <w:t>15</w:t>
      </w:r>
      <w:r w:rsidRPr="005A71F7">
        <w:rPr>
          <w:sz w:val="24"/>
        </w:rPr>
        <w:t xml:space="preserve">%, and </w:t>
      </w:r>
      <w:r>
        <w:rPr>
          <w:sz w:val="24"/>
        </w:rPr>
        <w:t xml:space="preserve">plants from </w:t>
      </w:r>
      <w:r w:rsidRPr="005A71F7">
        <w:rPr>
          <w:sz w:val="24"/>
        </w:rPr>
        <w:t>those</w:t>
      </w:r>
      <w:r w:rsidRPr="005A71F7">
        <w:rPr>
          <w:bCs/>
          <w:sz w:val="24"/>
        </w:rPr>
        <w:t xml:space="preserve"> now under establishment are expected </w:t>
      </w:r>
      <w:r>
        <w:rPr>
          <w:bCs/>
          <w:sz w:val="24"/>
        </w:rPr>
        <w:t xml:space="preserve">to be </w:t>
      </w:r>
      <w:r w:rsidRPr="005A71F7">
        <w:rPr>
          <w:bCs/>
          <w:sz w:val="24"/>
        </w:rPr>
        <w:t xml:space="preserve">around 25% </w:t>
      </w:r>
      <w:r w:rsidRPr="005A71F7">
        <w:rPr>
          <w:sz w:val="24"/>
        </w:rPr>
        <w:t xml:space="preserve">. This </w:t>
      </w:r>
      <w:r>
        <w:rPr>
          <w:sz w:val="24"/>
        </w:rPr>
        <w:t>percentage</w:t>
      </w:r>
      <w:r w:rsidRPr="005A71F7">
        <w:rPr>
          <w:sz w:val="24"/>
        </w:rPr>
        <w:t xml:space="preserve"> is </w:t>
      </w:r>
      <w:r>
        <w:rPr>
          <w:sz w:val="24"/>
        </w:rPr>
        <w:t>however reduced by</w:t>
      </w:r>
      <w:r w:rsidRPr="005A71F7">
        <w:rPr>
          <w:sz w:val="24"/>
        </w:rPr>
        <w:t xml:space="preserve"> pollen contamination with pollen from outside the orchard. </w:t>
      </w:r>
      <w:r>
        <w:rPr>
          <w:sz w:val="24"/>
        </w:rPr>
        <w:t xml:space="preserve">The contamination is difficult to avoid: </w:t>
      </w:r>
      <w:r w:rsidRPr="005A71F7">
        <w:rPr>
          <w:sz w:val="24"/>
        </w:rPr>
        <w:t>Scots pine is a wide-spread species</w:t>
      </w:r>
      <w:r>
        <w:rPr>
          <w:sz w:val="24"/>
        </w:rPr>
        <w:t xml:space="preserve"> in </w:t>
      </w:r>
      <w:smartTag w:uri="urn:schemas-microsoft-com:office:smarttags" w:element="country-region">
        <w:r>
          <w:rPr>
            <w:sz w:val="24"/>
          </w:rPr>
          <w:t>Sweden</w:t>
        </w:r>
      </w:smartTag>
      <w:r>
        <w:rPr>
          <w:sz w:val="24"/>
        </w:rPr>
        <w:t>,</w:t>
      </w:r>
      <w:r w:rsidRPr="005A71F7">
        <w:rPr>
          <w:sz w:val="24"/>
        </w:rPr>
        <w:t xml:space="preserve"> </w:t>
      </w:r>
      <w:r>
        <w:rPr>
          <w:sz w:val="24"/>
        </w:rPr>
        <w:t>and even</w:t>
      </w:r>
      <w:r w:rsidRPr="005A71F7">
        <w:rPr>
          <w:sz w:val="24"/>
        </w:rPr>
        <w:t xml:space="preserve"> in areas where </w:t>
      </w:r>
      <w:smartTag w:uri="urn:schemas-microsoft-com:office:smarttags" w:element="country-region">
        <w:r w:rsidRPr="005A71F7">
          <w:rPr>
            <w:sz w:val="24"/>
          </w:rPr>
          <w:t>Norway</w:t>
        </w:r>
      </w:smartTag>
      <w:r w:rsidRPr="005A71F7">
        <w:rPr>
          <w:sz w:val="24"/>
        </w:rPr>
        <w:t xml:space="preserve"> spruce (</w:t>
      </w:r>
      <w:r w:rsidRPr="005A71F7">
        <w:rPr>
          <w:i/>
          <w:sz w:val="24"/>
        </w:rPr>
        <w:t>Picea abies</w:t>
      </w:r>
      <w:r w:rsidRPr="005A71F7">
        <w:rPr>
          <w:sz w:val="24"/>
        </w:rPr>
        <w:t xml:space="preserve">), the other major conifer in </w:t>
      </w:r>
      <w:smartTag w:uri="urn:schemas-microsoft-com:office:smarttags" w:element="country-region">
        <w:r w:rsidRPr="005A71F7">
          <w:rPr>
            <w:sz w:val="24"/>
          </w:rPr>
          <w:t>Sweden</w:t>
        </w:r>
      </w:smartTag>
      <w:r w:rsidRPr="005A71F7">
        <w:rPr>
          <w:sz w:val="24"/>
        </w:rPr>
        <w:t>, dominat</w:t>
      </w:r>
      <w:r>
        <w:rPr>
          <w:sz w:val="24"/>
        </w:rPr>
        <w:t>e</w:t>
      </w:r>
      <w:r w:rsidRPr="005A71F7">
        <w:rPr>
          <w:sz w:val="24"/>
        </w:rPr>
        <w:t>, non-bred natural Scots pine</w:t>
      </w:r>
      <w:r>
        <w:rPr>
          <w:sz w:val="24"/>
        </w:rPr>
        <w:t>s</w:t>
      </w:r>
      <w:r w:rsidRPr="005A71F7">
        <w:rPr>
          <w:sz w:val="24"/>
        </w:rPr>
        <w:t xml:space="preserve"> </w:t>
      </w:r>
      <w:r>
        <w:rPr>
          <w:sz w:val="24"/>
        </w:rPr>
        <w:t xml:space="preserve">grow </w:t>
      </w:r>
      <w:r w:rsidRPr="005A71F7">
        <w:rPr>
          <w:sz w:val="24"/>
        </w:rPr>
        <w:t xml:space="preserve">scattered </w:t>
      </w:r>
      <w:r>
        <w:rPr>
          <w:sz w:val="24"/>
        </w:rPr>
        <w:t xml:space="preserve">among the spruces </w:t>
      </w:r>
      <w:r w:rsidRPr="005A71F7">
        <w:rPr>
          <w:sz w:val="24"/>
        </w:rPr>
        <w:t xml:space="preserve">or in </w:t>
      </w:r>
      <w:r>
        <w:rPr>
          <w:sz w:val="24"/>
        </w:rPr>
        <w:t xml:space="preserve">pure pine </w:t>
      </w:r>
      <w:r w:rsidRPr="005A71F7">
        <w:rPr>
          <w:sz w:val="24"/>
        </w:rPr>
        <w:t>stands. The flight distance of pine pollen</w:t>
      </w:r>
      <w:r>
        <w:rPr>
          <w:sz w:val="24"/>
        </w:rPr>
        <w:t xml:space="preserve"> can also be quite long</w:t>
      </w:r>
      <w:r w:rsidRPr="005A71F7">
        <w:rPr>
          <w:sz w:val="24"/>
        </w:rPr>
        <w:t xml:space="preserve">. </w:t>
      </w:r>
      <w:r>
        <w:rPr>
          <w:sz w:val="24"/>
        </w:rPr>
        <w:t>As the seed orchards give more gain, the gain loss by pollen contamination becomes larger, and as the pine stands become genetically more disparate, the contaminating pollen cloud becomes more unpredictable. A</w:t>
      </w:r>
      <w:r w:rsidRPr="005A71F7">
        <w:rPr>
          <w:sz w:val="24"/>
        </w:rPr>
        <w:t xml:space="preserve">lthough the contamination </w:t>
      </w:r>
      <w:r>
        <w:rPr>
          <w:sz w:val="24"/>
        </w:rPr>
        <w:t>promot</w:t>
      </w:r>
      <w:r w:rsidRPr="005A71F7">
        <w:rPr>
          <w:sz w:val="24"/>
        </w:rPr>
        <w:t>es the genetic diversity of the seed harvest, a general aim is</w:t>
      </w:r>
      <w:r>
        <w:rPr>
          <w:sz w:val="24"/>
        </w:rPr>
        <w:t xml:space="preserve"> thus</w:t>
      </w:r>
      <w:r w:rsidRPr="005A71F7">
        <w:rPr>
          <w:sz w:val="24"/>
        </w:rPr>
        <w:t xml:space="preserve"> to reduce it.</w:t>
      </w:r>
    </w:p>
    <w:p w:rsidR="0001563F" w:rsidRPr="005A71F7" w:rsidRDefault="0001563F" w:rsidP="009F5353">
      <w:pPr>
        <w:pStyle w:val="ListParagraph"/>
        <w:spacing w:after="120"/>
        <w:ind w:left="0"/>
        <w:contextualSpacing w:val="0"/>
        <w:rPr>
          <w:sz w:val="24"/>
        </w:rPr>
      </w:pPr>
      <w:r w:rsidRPr="005A71F7">
        <w:rPr>
          <w:sz w:val="24"/>
        </w:rPr>
        <w:t>The first studies of pollen contamination in Scots pine seed orchards during the 1980s, used isozymes with l</w:t>
      </w:r>
      <w:r>
        <w:rPr>
          <w:sz w:val="24"/>
        </w:rPr>
        <w:t>imited</w:t>
      </w:r>
      <w:r w:rsidRPr="005A71F7">
        <w:rPr>
          <w:sz w:val="24"/>
        </w:rPr>
        <w:t xml:space="preserve"> precision. Today’s molecular marker techniques have higher precision and </w:t>
      </w:r>
      <w:r>
        <w:rPr>
          <w:sz w:val="24"/>
        </w:rPr>
        <w:t>gives thus better</w:t>
      </w:r>
      <w:r w:rsidRPr="005A71F7">
        <w:rPr>
          <w:sz w:val="24"/>
        </w:rPr>
        <w:t xml:space="preserve"> estimates of the contamination</w:t>
      </w:r>
      <w:r>
        <w:rPr>
          <w:sz w:val="24"/>
        </w:rPr>
        <w:t>, and can also</w:t>
      </w:r>
      <w:r w:rsidRPr="005A71F7">
        <w:rPr>
          <w:sz w:val="24"/>
        </w:rPr>
        <w:t xml:space="preserve"> be used for analyzing the pollination pattern within the seed orchard. </w:t>
      </w:r>
    </w:p>
    <w:p w:rsidR="0001563F" w:rsidRPr="005A71F7" w:rsidRDefault="0001563F" w:rsidP="008B3592">
      <w:pPr>
        <w:pStyle w:val="ListParagraph"/>
        <w:spacing w:after="120"/>
        <w:ind w:left="0"/>
        <w:contextualSpacing w:val="0"/>
        <w:rPr>
          <w:sz w:val="24"/>
        </w:rPr>
      </w:pPr>
      <w:r w:rsidRPr="005A71F7">
        <w:rPr>
          <w:sz w:val="24"/>
        </w:rPr>
        <w:t xml:space="preserve">A study of the most advanced Scots pine seed orchard in production in </w:t>
      </w:r>
      <w:smartTag w:uri="urn:schemas-microsoft-com:office:smarttags" w:element="country-region">
        <w:r w:rsidRPr="005A71F7">
          <w:rPr>
            <w:sz w:val="24"/>
          </w:rPr>
          <w:t>Sweden</w:t>
        </w:r>
      </w:smartTag>
      <w:r w:rsidRPr="005A71F7">
        <w:rPr>
          <w:sz w:val="24"/>
        </w:rPr>
        <w:t>, Västerhus, was performed</w:t>
      </w:r>
      <w:r>
        <w:rPr>
          <w:sz w:val="24"/>
        </w:rPr>
        <w:t xml:space="preserve"> the seed maturation year</w:t>
      </w:r>
      <w:r w:rsidRPr="005A71F7">
        <w:rPr>
          <w:sz w:val="24"/>
        </w:rPr>
        <w:t xml:space="preserve"> 2007</w:t>
      </w:r>
      <w:r>
        <w:rPr>
          <w:sz w:val="24"/>
        </w:rPr>
        <w:t xml:space="preserve"> (Torimaru et al. 2009)</w:t>
      </w:r>
      <w:r w:rsidRPr="005A71F7">
        <w:rPr>
          <w:sz w:val="24"/>
        </w:rPr>
        <w:t>. All 28 clones in the seed orchard were genotyped based on nine microsatellite (SSR) loci. The nine SSR loci produced</w:t>
      </w:r>
      <w:r>
        <w:rPr>
          <w:sz w:val="24"/>
        </w:rPr>
        <w:t xml:space="preserve"> almost</w:t>
      </w:r>
      <w:r w:rsidRPr="005A71F7">
        <w:rPr>
          <w:sz w:val="24"/>
        </w:rPr>
        <w:t xml:space="preserve"> unique multilocus genotypes for each of the 28 clones, and paternal assignment of the studied seed was made with very high paternity exclusion probability. </w:t>
      </w:r>
      <w:r>
        <w:rPr>
          <w:sz w:val="24"/>
        </w:rPr>
        <w:t>I</w:t>
      </w:r>
      <w:r w:rsidRPr="005A71F7">
        <w:rPr>
          <w:sz w:val="24"/>
        </w:rPr>
        <w:t>t was estimated</w:t>
      </w:r>
      <w:r>
        <w:rPr>
          <w:sz w:val="24"/>
        </w:rPr>
        <w:t xml:space="preserve"> that</w:t>
      </w:r>
      <w:r w:rsidRPr="005A71F7">
        <w:rPr>
          <w:sz w:val="24"/>
        </w:rPr>
        <w:t xml:space="preserve"> around </w:t>
      </w:r>
      <w:r>
        <w:rPr>
          <w:sz w:val="24"/>
        </w:rPr>
        <w:t>50%</w:t>
      </w:r>
      <w:r w:rsidRPr="005A71F7">
        <w:rPr>
          <w:sz w:val="24"/>
        </w:rPr>
        <w:t xml:space="preserve"> of the seeds produced in the seed orchard this year was seeds </w:t>
      </w:r>
      <w:r>
        <w:rPr>
          <w:sz w:val="24"/>
        </w:rPr>
        <w:t xml:space="preserve">that had been </w:t>
      </w:r>
      <w:r w:rsidRPr="005A71F7">
        <w:rPr>
          <w:sz w:val="24"/>
        </w:rPr>
        <w:t>contaminated with paternal genes from outside the orchard</w:t>
      </w:r>
      <w:r>
        <w:rPr>
          <w:sz w:val="24"/>
        </w:rPr>
        <w:t>.</w:t>
      </w:r>
      <w:r w:rsidRPr="005A71F7">
        <w:rPr>
          <w:sz w:val="24"/>
        </w:rPr>
        <w:t xml:space="preserve"> </w:t>
      </w:r>
      <w:r>
        <w:rPr>
          <w:sz w:val="24"/>
        </w:rPr>
        <w:t>S</w:t>
      </w:r>
      <w:r w:rsidRPr="005A71F7">
        <w:rPr>
          <w:sz w:val="24"/>
        </w:rPr>
        <w:t>elfing frequency was</w:t>
      </w:r>
      <w:r>
        <w:rPr>
          <w:sz w:val="24"/>
        </w:rPr>
        <w:t xml:space="preserve"> very</w:t>
      </w:r>
      <w:r w:rsidRPr="005A71F7">
        <w:rPr>
          <w:sz w:val="24"/>
        </w:rPr>
        <w:t xml:space="preserve"> low. This contamination figure is </w:t>
      </w:r>
      <w:r>
        <w:rPr>
          <w:sz w:val="24"/>
        </w:rPr>
        <w:t>compatible with similar old studies</w:t>
      </w:r>
      <w:r w:rsidRPr="005A71F7">
        <w:rPr>
          <w:sz w:val="24"/>
        </w:rPr>
        <w:t>.</w:t>
      </w:r>
    </w:p>
    <w:p w:rsidR="0001563F" w:rsidRPr="005A71F7" w:rsidRDefault="0001563F" w:rsidP="003B0506">
      <w:pPr>
        <w:pStyle w:val="ListParagraph"/>
        <w:spacing w:after="120"/>
        <w:ind w:left="0"/>
        <w:contextualSpacing w:val="0"/>
        <w:rPr>
          <w:sz w:val="24"/>
        </w:rPr>
      </w:pPr>
      <w:r w:rsidRPr="005A71F7">
        <w:rPr>
          <w:sz w:val="24"/>
        </w:rPr>
        <w:t xml:space="preserve">A clone-wise analyzes of the pollen contamination showed </w:t>
      </w:r>
      <w:r>
        <w:rPr>
          <w:sz w:val="24"/>
        </w:rPr>
        <w:t xml:space="preserve">that </w:t>
      </w:r>
      <w:r w:rsidRPr="005A71F7">
        <w:rPr>
          <w:sz w:val="24"/>
        </w:rPr>
        <w:t>the contamination varied considerably among clones. Furthermore</w:t>
      </w:r>
      <w:r>
        <w:rPr>
          <w:sz w:val="24"/>
        </w:rPr>
        <w:t>,</w:t>
      </w:r>
      <w:r w:rsidRPr="005A71F7">
        <w:rPr>
          <w:sz w:val="24"/>
        </w:rPr>
        <w:t xml:space="preserve"> some clones </w:t>
      </w:r>
      <w:r w:rsidRPr="00780C3A">
        <w:rPr>
          <w:sz w:val="24"/>
        </w:rPr>
        <w:t xml:space="preserve">contributed </w:t>
      </w:r>
      <w:r w:rsidRPr="005A71F7">
        <w:rPr>
          <w:sz w:val="24"/>
        </w:rPr>
        <w:t>genetically around twice as much to the seed harvest, as compared to the number of grafts of the clone in the orchard, while other contributed genetically with only ca 1/10</w:t>
      </w:r>
      <w:r w:rsidRPr="005A71F7">
        <w:rPr>
          <w:sz w:val="24"/>
          <w:vertAlign w:val="superscript"/>
        </w:rPr>
        <w:t>th</w:t>
      </w:r>
      <w:r w:rsidRPr="005A71F7">
        <w:rPr>
          <w:sz w:val="24"/>
        </w:rPr>
        <w:t xml:space="preserve"> of what their number of grafts </w:t>
      </w:r>
      <w:r>
        <w:rPr>
          <w:sz w:val="24"/>
        </w:rPr>
        <w:t>indicated</w:t>
      </w:r>
      <w:r w:rsidRPr="005A71F7">
        <w:rPr>
          <w:sz w:val="24"/>
        </w:rPr>
        <w:t xml:space="preserve">. </w:t>
      </w:r>
    </w:p>
    <w:p w:rsidR="0001563F" w:rsidRPr="00CF3607" w:rsidRDefault="0001563F" w:rsidP="00CF3607">
      <w:pPr>
        <w:pStyle w:val="ListParagraph"/>
        <w:spacing w:after="120"/>
        <w:ind w:left="0"/>
        <w:contextualSpacing w:val="0"/>
        <w:rPr>
          <w:sz w:val="24"/>
        </w:rPr>
      </w:pPr>
      <w:r w:rsidRPr="005A71F7">
        <w:rPr>
          <w:sz w:val="24"/>
        </w:rPr>
        <w:t xml:space="preserve">Further development </w:t>
      </w:r>
      <w:r>
        <w:rPr>
          <w:sz w:val="24"/>
        </w:rPr>
        <w:t xml:space="preserve">of molecular markers </w:t>
      </w:r>
      <w:r w:rsidRPr="005A71F7">
        <w:rPr>
          <w:sz w:val="24"/>
        </w:rPr>
        <w:t xml:space="preserve">will </w:t>
      </w:r>
      <w:r>
        <w:rPr>
          <w:sz w:val="24"/>
        </w:rPr>
        <w:t>make it possible</w:t>
      </w:r>
      <w:r w:rsidRPr="005A71F7">
        <w:rPr>
          <w:sz w:val="24"/>
        </w:rPr>
        <w:t xml:space="preserve"> to evaluate the functions of seed orchards. Possible aspects are: </w:t>
      </w:r>
      <w:r w:rsidRPr="005A71F7">
        <w:rPr>
          <w:i/>
          <w:sz w:val="24"/>
        </w:rPr>
        <w:t xml:space="preserve">i) </w:t>
      </w:r>
      <w:r w:rsidRPr="008C2599">
        <w:rPr>
          <w:sz w:val="24"/>
        </w:rPr>
        <w:t xml:space="preserve">appropriate maturity of </w:t>
      </w:r>
      <w:r w:rsidRPr="005A71F7">
        <w:rPr>
          <w:sz w:val="24"/>
        </w:rPr>
        <w:t xml:space="preserve">the seed orchard for seed harvest, </w:t>
      </w:r>
      <w:r w:rsidRPr="005A71F7">
        <w:rPr>
          <w:i/>
          <w:sz w:val="24"/>
        </w:rPr>
        <w:t>ii)</w:t>
      </w:r>
      <w:r w:rsidRPr="005A71F7">
        <w:rPr>
          <w:sz w:val="24"/>
        </w:rPr>
        <w:t xml:space="preserve"> the annual variation of the genetic quality of the seed harvest, </w:t>
      </w:r>
      <w:r w:rsidRPr="005A71F7">
        <w:rPr>
          <w:i/>
          <w:sz w:val="24"/>
        </w:rPr>
        <w:t>iii)</w:t>
      </w:r>
      <w:r w:rsidRPr="005A71F7">
        <w:rPr>
          <w:sz w:val="24"/>
        </w:rPr>
        <w:t xml:space="preserve"> the genetic diversity of the seed harvest, </w:t>
      </w:r>
      <w:r w:rsidRPr="005A71F7">
        <w:rPr>
          <w:i/>
          <w:sz w:val="24"/>
        </w:rPr>
        <w:t>iv)</w:t>
      </w:r>
      <w:r w:rsidRPr="005A71F7">
        <w:rPr>
          <w:sz w:val="24"/>
        </w:rPr>
        <w:t xml:space="preserve"> base information for </w:t>
      </w:r>
      <w:r>
        <w:rPr>
          <w:sz w:val="24"/>
        </w:rPr>
        <w:t xml:space="preserve">genetic </w:t>
      </w:r>
      <w:r w:rsidRPr="005A71F7">
        <w:rPr>
          <w:sz w:val="24"/>
        </w:rPr>
        <w:t>thinning of the seed orchard. In a longer perspective, molecular markers could possibly be used for e.g. evaluation of long-distance pollen transfer and</w:t>
      </w:r>
      <w:r>
        <w:rPr>
          <w:sz w:val="24"/>
        </w:rPr>
        <w:t xml:space="preserve"> identification of individual trees for forward selection in operational </w:t>
      </w:r>
      <w:r w:rsidRPr="005A71F7">
        <w:rPr>
          <w:sz w:val="24"/>
        </w:rPr>
        <w:t>plantation</w:t>
      </w:r>
      <w:r>
        <w:rPr>
          <w:sz w:val="24"/>
        </w:rPr>
        <w:t>s</w:t>
      </w:r>
      <w:r w:rsidRPr="005A71F7">
        <w:rPr>
          <w:sz w:val="24"/>
        </w:rPr>
        <w:t xml:space="preserve"> from a </w:t>
      </w:r>
      <w:r>
        <w:rPr>
          <w:sz w:val="24"/>
        </w:rPr>
        <w:t xml:space="preserve">certain </w:t>
      </w:r>
      <w:r w:rsidRPr="005A71F7">
        <w:rPr>
          <w:sz w:val="24"/>
        </w:rPr>
        <w:t xml:space="preserve">seed orchard. </w:t>
      </w:r>
    </w:p>
    <w:sectPr w:rsidR="0001563F" w:rsidRPr="00CF3607" w:rsidSect="00BD3C48">
      <w:pgSz w:w="12240" w:h="15840"/>
      <w:pgMar w:top="1474" w:right="1803" w:bottom="153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FD9"/>
    <w:multiLevelType w:val="hybridMultilevel"/>
    <w:tmpl w:val="956CC8B0"/>
    <w:lvl w:ilvl="0" w:tplc="908496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7AAC"/>
    <w:multiLevelType w:val="hybridMultilevel"/>
    <w:tmpl w:val="E312D37C"/>
    <w:lvl w:ilvl="0" w:tplc="DC5438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069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6BF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C08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4E9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ADE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A29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E2E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EE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F4742"/>
    <w:multiLevelType w:val="hybridMultilevel"/>
    <w:tmpl w:val="A6C08B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C2DBC"/>
    <w:multiLevelType w:val="hybridMultilevel"/>
    <w:tmpl w:val="32FC37A4"/>
    <w:lvl w:ilvl="0" w:tplc="155AA2AC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43AF5D8C"/>
    <w:multiLevelType w:val="hybridMultilevel"/>
    <w:tmpl w:val="921A829E"/>
    <w:lvl w:ilvl="0" w:tplc="778A6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B62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206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64A0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CA7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AC7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68E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22C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1EF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5733B1"/>
    <w:multiLevelType w:val="hybridMultilevel"/>
    <w:tmpl w:val="CE8AFAAA"/>
    <w:lvl w:ilvl="0" w:tplc="05561AA0">
      <w:start w:val="16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A0DE9"/>
    <w:multiLevelType w:val="hybridMultilevel"/>
    <w:tmpl w:val="6360ADEE"/>
    <w:lvl w:ilvl="0" w:tplc="421A6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4C6"/>
    <w:rsid w:val="0001563F"/>
    <w:rsid w:val="000406E3"/>
    <w:rsid w:val="00071E0A"/>
    <w:rsid w:val="00077621"/>
    <w:rsid w:val="00096921"/>
    <w:rsid w:val="000C1B88"/>
    <w:rsid w:val="000D4D5B"/>
    <w:rsid w:val="000E04F8"/>
    <w:rsid w:val="000E6EC5"/>
    <w:rsid w:val="00134F1A"/>
    <w:rsid w:val="00160AC4"/>
    <w:rsid w:val="001668E8"/>
    <w:rsid w:val="00166A2D"/>
    <w:rsid w:val="001B34F7"/>
    <w:rsid w:val="001C253F"/>
    <w:rsid w:val="001C39A0"/>
    <w:rsid w:val="00252DA1"/>
    <w:rsid w:val="00253A54"/>
    <w:rsid w:val="00256E65"/>
    <w:rsid w:val="002962CB"/>
    <w:rsid w:val="002A3086"/>
    <w:rsid w:val="002E0B24"/>
    <w:rsid w:val="002F049C"/>
    <w:rsid w:val="00306CA4"/>
    <w:rsid w:val="00330EEF"/>
    <w:rsid w:val="0039745F"/>
    <w:rsid w:val="003B0506"/>
    <w:rsid w:val="003D7E3E"/>
    <w:rsid w:val="003E5226"/>
    <w:rsid w:val="004310FD"/>
    <w:rsid w:val="00497F2C"/>
    <w:rsid w:val="004E304B"/>
    <w:rsid w:val="004F2616"/>
    <w:rsid w:val="00505DEB"/>
    <w:rsid w:val="00532E65"/>
    <w:rsid w:val="005379E2"/>
    <w:rsid w:val="00573766"/>
    <w:rsid w:val="00582DEF"/>
    <w:rsid w:val="00591730"/>
    <w:rsid w:val="00593F4C"/>
    <w:rsid w:val="0059646F"/>
    <w:rsid w:val="005A71F7"/>
    <w:rsid w:val="005E5E5A"/>
    <w:rsid w:val="00605A53"/>
    <w:rsid w:val="0060638E"/>
    <w:rsid w:val="00632FCD"/>
    <w:rsid w:val="00680360"/>
    <w:rsid w:val="006935B1"/>
    <w:rsid w:val="006A7719"/>
    <w:rsid w:val="006D6903"/>
    <w:rsid w:val="0072463E"/>
    <w:rsid w:val="007729EE"/>
    <w:rsid w:val="00776FAA"/>
    <w:rsid w:val="00780C3A"/>
    <w:rsid w:val="00781F80"/>
    <w:rsid w:val="007972C9"/>
    <w:rsid w:val="008130AC"/>
    <w:rsid w:val="008144D3"/>
    <w:rsid w:val="00864797"/>
    <w:rsid w:val="008B3592"/>
    <w:rsid w:val="008B7BA9"/>
    <w:rsid w:val="008C2599"/>
    <w:rsid w:val="00935F99"/>
    <w:rsid w:val="00952E49"/>
    <w:rsid w:val="00955D0D"/>
    <w:rsid w:val="00963511"/>
    <w:rsid w:val="009F5353"/>
    <w:rsid w:val="00A1636C"/>
    <w:rsid w:val="00A8607E"/>
    <w:rsid w:val="00A96203"/>
    <w:rsid w:val="00AA53FA"/>
    <w:rsid w:val="00B210A6"/>
    <w:rsid w:val="00B3655B"/>
    <w:rsid w:val="00BD3C48"/>
    <w:rsid w:val="00BD608B"/>
    <w:rsid w:val="00BE1FB9"/>
    <w:rsid w:val="00BF2CFA"/>
    <w:rsid w:val="00C57D6E"/>
    <w:rsid w:val="00CC6788"/>
    <w:rsid w:val="00CE63AE"/>
    <w:rsid w:val="00CF3607"/>
    <w:rsid w:val="00D04CE7"/>
    <w:rsid w:val="00DB74C6"/>
    <w:rsid w:val="00DD0E64"/>
    <w:rsid w:val="00E34325"/>
    <w:rsid w:val="00E6630E"/>
    <w:rsid w:val="00E76378"/>
    <w:rsid w:val="00EE3B64"/>
    <w:rsid w:val="00F06B56"/>
    <w:rsid w:val="00F94EB2"/>
    <w:rsid w:val="00FD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6CA4"/>
    <w:pPr>
      <w:ind w:left="142"/>
      <w:contextualSpacing/>
    </w:pPr>
  </w:style>
  <w:style w:type="character" w:styleId="Hyperlink">
    <w:name w:val="Hyperlink"/>
    <w:basedOn w:val="DefaultParagraphFont"/>
    <w:uiPriority w:val="99"/>
    <w:rsid w:val="00FD224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8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014">
          <w:marLeft w:val="96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17">
          <w:marLeft w:val="96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18">
          <w:marLeft w:val="96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0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2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o-Ru.Wang@emg.um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imaru@cc.hiros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.Lindgren@genfys.slu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ers.Fries@genfys.slu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ngt.andersson@skogforsk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611</Words>
  <Characters>3485</Characters>
  <Application>Microsoft Office Outlook</Application>
  <DocSecurity>0</DocSecurity>
  <Lines>0</Lines>
  <Paragraphs>0</Paragraphs>
  <ScaleCrop>false</ScaleCrop>
  <Company>SLU, Umeå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Fria</dc:creator>
  <cp:keywords/>
  <dc:description/>
  <cp:lastModifiedBy>Dag Lindgren</cp:lastModifiedBy>
  <cp:revision>9</cp:revision>
  <cp:lastPrinted>2009-06-02T11:28:00Z</cp:lastPrinted>
  <dcterms:created xsi:type="dcterms:W3CDTF">2009-06-04T07:58:00Z</dcterms:created>
  <dcterms:modified xsi:type="dcterms:W3CDTF">2009-06-05T10:53:00Z</dcterms:modified>
</cp:coreProperties>
</file>